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CF7D" w14:textId="756412EA" w:rsidR="0074731E" w:rsidRPr="0074731E" w:rsidRDefault="00127434" w:rsidP="00D93026">
      <w:pPr>
        <w:jc w:val="center"/>
        <w:rPr>
          <w:rFonts w:ascii="Arial Black" w:hAnsi="Arial Black" w:cs="Arial"/>
          <w:b/>
          <w:sz w:val="24"/>
          <w:szCs w:val="24"/>
        </w:rPr>
      </w:pPr>
      <w:r w:rsidRPr="0074731E">
        <w:rPr>
          <w:rFonts w:ascii="Arial Black" w:hAnsi="Arial Black" w:cs="Arial"/>
          <w:b/>
          <w:sz w:val="24"/>
          <w:szCs w:val="24"/>
        </w:rPr>
        <w:t>Criterion 1</w:t>
      </w:r>
    </w:p>
    <w:p w14:paraId="4631550E" w14:textId="5E50B8BD" w:rsidR="00127434" w:rsidRPr="0074731E" w:rsidRDefault="00127434" w:rsidP="00127434">
      <w:pPr>
        <w:jc w:val="center"/>
        <w:rPr>
          <w:rFonts w:ascii="Arial Black" w:hAnsi="Arial Black" w:cs="Arial"/>
          <w:b/>
          <w:sz w:val="24"/>
          <w:szCs w:val="24"/>
        </w:rPr>
      </w:pPr>
      <w:r w:rsidRPr="0074731E">
        <w:rPr>
          <w:rFonts w:ascii="Arial Black" w:hAnsi="Arial Black" w:cs="Arial"/>
          <w:b/>
          <w:sz w:val="24"/>
          <w:szCs w:val="24"/>
        </w:rPr>
        <w:t xml:space="preserve"> Mission</w:t>
      </w: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0260"/>
      </w:tblGrid>
      <w:tr w:rsidR="00127434" w14:paraId="3FF9E381" w14:textId="77777777" w:rsidTr="00127434">
        <w:tc>
          <w:tcPr>
            <w:tcW w:w="10260" w:type="dxa"/>
          </w:tcPr>
          <w:p w14:paraId="363C3CEB" w14:textId="5BE5D9C9" w:rsidR="00127434" w:rsidRDefault="00127434" w:rsidP="00127434">
            <w:pPr>
              <w:rPr>
                <w:rFonts w:ascii="Arial" w:hAnsi="Arial" w:cs="Arial"/>
              </w:rPr>
            </w:pPr>
            <w:r w:rsidRPr="00127434">
              <w:rPr>
                <w:rFonts w:ascii="Arial" w:hAnsi="Arial" w:cs="Arial"/>
                <w:i/>
                <w:sz w:val="24"/>
                <w:szCs w:val="24"/>
              </w:rPr>
              <w:t>The institution’s mission is clear and articulated publicly; it guides the institution’s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127434">
              <w:rPr>
                <w:rFonts w:ascii="Arial" w:hAnsi="Arial" w:cs="Arial"/>
                <w:i/>
                <w:sz w:val="24"/>
                <w:szCs w:val="24"/>
              </w:rPr>
              <w:t>operations</w:t>
            </w:r>
            <w:r w:rsidRPr="00127434">
              <w:rPr>
                <w:rFonts w:ascii="Arial" w:hAnsi="Arial" w:cs="Arial"/>
              </w:rPr>
              <w:t>.</w:t>
            </w:r>
          </w:p>
        </w:tc>
      </w:tr>
    </w:tbl>
    <w:p w14:paraId="28E64FAC" w14:textId="77777777" w:rsidR="00127434" w:rsidRPr="00127434" w:rsidRDefault="00127434" w:rsidP="00023772">
      <w:pPr>
        <w:rPr>
          <w:rFonts w:ascii="Arial" w:hAnsi="Arial" w:cs="Arial"/>
        </w:rPr>
      </w:pPr>
    </w:p>
    <w:p w14:paraId="5801EFAB" w14:textId="0562FAAB" w:rsidR="00023772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b/>
          <w:sz w:val="24"/>
          <w:szCs w:val="24"/>
        </w:rPr>
        <w:t>1.A - Core Component</w:t>
      </w:r>
      <w:r w:rsidRPr="0074731E">
        <w:rPr>
          <w:rFonts w:ascii="Arial" w:hAnsi="Arial" w:cs="Arial"/>
          <w:sz w:val="24"/>
          <w:szCs w:val="24"/>
        </w:rPr>
        <w:t>:  The institution’s mission is articulated publicly and operationalized throughout the institution.</w:t>
      </w:r>
    </w:p>
    <w:p w14:paraId="5D545A5F" w14:textId="77777777" w:rsidR="00023772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 xml:space="preserve">1. The mission was developed through a process suited to the context of the institution. </w:t>
      </w:r>
    </w:p>
    <w:p w14:paraId="0954B496" w14:textId="747EABFF" w:rsidR="00023772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>2. The mission and related statements are current and reference the institution’s emphasis on the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>various aspects of its mission, such as instruction, scholarship, research, application of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>research, creative works, clinical service, public service, economic development and religious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 xml:space="preserve">or cultural purpose. </w:t>
      </w:r>
    </w:p>
    <w:p w14:paraId="5AE6C7EA" w14:textId="5ABA8B3C" w:rsidR="00023772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>3. The mission and related statements identify the nature, scope and intended constituents of the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 xml:space="preserve">higher education offerings and services the institution provides. </w:t>
      </w:r>
    </w:p>
    <w:p w14:paraId="557968F2" w14:textId="274FF22B" w:rsidR="00023772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>4. The institution’s academic offerings, student support services and enrollment profile are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 xml:space="preserve">consistent with its stated mission. </w:t>
      </w:r>
    </w:p>
    <w:p w14:paraId="1E3B99D6" w14:textId="29F50798" w:rsidR="00515CEA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>5. The institution clearly articulates its mission through public information, such as statements of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>purpose, vision, values, goals, plans or institutional priorities.</w:t>
      </w:r>
    </w:p>
    <w:p w14:paraId="383121A5" w14:textId="77777777" w:rsidR="00127434" w:rsidRPr="0074731E" w:rsidRDefault="00127434" w:rsidP="00023772">
      <w:pPr>
        <w:rPr>
          <w:rFonts w:ascii="Arial" w:hAnsi="Arial" w:cs="Arial"/>
          <w:sz w:val="24"/>
          <w:szCs w:val="24"/>
        </w:rPr>
      </w:pPr>
    </w:p>
    <w:p w14:paraId="6F8970B2" w14:textId="77777777" w:rsidR="00023772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b/>
          <w:sz w:val="24"/>
          <w:szCs w:val="24"/>
        </w:rPr>
        <w:t>1.B - Core Component</w:t>
      </w:r>
      <w:r w:rsidRPr="0074731E">
        <w:rPr>
          <w:rFonts w:ascii="Arial" w:hAnsi="Arial" w:cs="Arial"/>
          <w:sz w:val="24"/>
          <w:szCs w:val="24"/>
        </w:rPr>
        <w:t>: The institution’s mission demonstrates commitment to the public good.</w:t>
      </w:r>
    </w:p>
    <w:p w14:paraId="7293D230" w14:textId="213E5FA8" w:rsidR="00023772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>1. The institution’s actions and decisions demonstrate that its educational role is to serve the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 xml:space="preserve">public, not solely the institution or any superordinate entity. </w:t>
      </w:r>
    </w:p>
    <w:p w14:paraId="664A62ED" w14:textId="08D0A733" w:rsidR="00023772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>2. The institution’s educational responsibilities take primacy over other purposes, such as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>generating financial returns for investors, contributing to a related or parent organization, or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 xml:space="preserve">supporting external interests. </w:t>
      </w:r>
    </w:p>
    <w:p w14:paraId="04CFA727" w14:textId="1DEC4DAA" w:rsidR="00023772" w:rsidRPr="0074731E" w:rsidRDefault="00023772" w:rsidP="00023772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>3. The institution engages with its external constituencies and responds to their needs as its</w:t>
      </w:r>
      <w:r w:rsidR="00127434" w:rsidRPr="0074731E">
        <w:rPr>
          <w:rFonts w:ascii="Arial" w:hAnsi="Arial" w:cs="Arial"/>
          <w:sz w:val="24"/>
          <w:szCs w:val="24"/>
        </w:rPr>
        <w:t xml:space="preserve"> </w:t>
      </w:r>
      <w:r w:rsidRPr="0074731E">
        <w:rPr>
          <w:rFonts w:ascii="Arial" w:hAnsi="Arial" w:cs="Arial"/>
          <w:sz w:val="24"/>
          <w:szCs w:val="24"/>
        </w:rPr>
        <w:t>mission and capacity allow.</w:t>
      </w:r>
    </w:p>
    <w:p w14:paraId="0D6C3F1D" w14:textId="77777777" w:rsidR="00127434" w:rsidRPr="0074731E" w:rsidRDefault="00127434" w:rsidP="00023772">
      <w:pPr>
        <w:rPr>
          <w:rFonts w:ascii="Arial" w:hAnsi="Arial" w:cs="Arial"/>
          <w:sz w:val="24"/>
          <w:szCs w:val="24"/>
        </w:rPr>
      </w:pPr>
    </w:p>
    <w:p w14:paraId="6ED73243" w14:textId="11B959B2" w:rsidR="00127434" w:rsidRPr="0074731E" w:rsidRDefault="00127434" w:rsidP="00127434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b/>
          <w:sz w:val="24"/>
          <w:szCs w:val="24"/>
        </w:rPr>
        <w:t>1.C - Core Component</w:t>
      </w:r>
      <w:r w:rsidRPr="0074731E">
        <w:rPr>
          <w:rFonts w:ascii="Arial" w:hAnsi="Arial" w:cs="Arial"/>
          <w:sz w:val="24"/>
          <w:szCs w:val="24"/>
        </w:rPr>
        <w:t>:  The institution provides opportunities for civic engagement in a diverse, multicultural society and globally connected world, as appropriate within its mission and for the constituencies it serves.</w:t>
      </w:r>
    </w:p>
    <w:p w14:paraId="798B4FDC" w14:textId="3718F831" w:rsidR="00127434" w:rsidRPr="0074731E" w:rsidRDefault="00127434" w:rsidP="00127434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 xml:space="preserve">1. The institution encourages curricular or cocurricular activities that prepare students for informed citizenship and workplace success. </w:t>
      </w:r>
    </w:p>
    <w:p w14:paraId="030A01D3" w14:textId="46A7750A" w:rsidR="00127434" w:rsidRPr="0074731E" w:rsidRDefault="00127434" w:rsidP="00127434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lastRenderedPageBreak/>
        <w:t xml:space="preserve">2. The institution’s processes and activities demonstrate inclusive and equitable treatment of diverse populations. </w:t>
      </w:r>
    </w:p>
    <w:p w14:paraId="2D4C3C0A" w14:textId="497258B5" w:rsidR="00023772" w:rsidRDefault="00127434" w:rsidP="00127434">
      <w:pPr>
        <w:rPr>
          <w:rFonts w:ascii="Arial" w:hAnsi="Arial" w:cs="Arial"/>
          <w:sz w:val="24"/>
          <w:szCs w:val="24"/>
        </w:rPr>
      </w:pPr>
      <w:r w:rsidRPr="0074731E">
        <w:rPr>
          <w:rFonts w:ascii="Arial" w:hAnsi="Arial" w:cs="Arial"/>
          <w:sz w:val="24"/>
          <w:szCs w:val="24"/>
        </w:rPr>
        <w:t>3. The institution fosters a climate of respect among all students, faculty, staff and administrators from a range of diverse backgrounds, ideas and perspectives.</w:t>
      </w:r>
    </w:p>
    <w:p w14:paraId="42C1F3EA" w14:textId="285EF480" w:rsidR="003F5CD7" w:rsidRDefault="003F5CD7" w:rsidP="0012743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F5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72"/>
    <w:rsid w:val="00023772"/>
    <w:rsid w:val="00127434"/>
    <w:rsid w:val="0032157F"/>
    <w:rsid w:val="003A369E"/>
    <w:rsid w:val="003F5CD7"/>
    <w:rsid w:val="005008EC"/>
    <w:rsid w:val="00515CEA"/>
    <w:rsid w:val="006744DA"/>
    <w:rsid w:val="00745646"/>
    <w:rsid w:val="0074731E"/>
    <w:rsid w:val="0082080E"/>
    <w:rsid w:val="008629DF"/>
    <w:rsid w:val="008C5AB2"/>
    <w:rsid w:val="00D93026"/>
    <w:rsid w:val="00F2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4BD9"/>
  <w15:chartTrackingRefBased/>
  <w15:docId w15:val="{37BADA6B-2363-4BFC-81FF-A10AF39F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A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30F9C4C391F43951CC672D10C2754" ma:contentTypeVersion="10" ma:contentTypeDescription="Create a new document." ma:contentTypeScope="" ma:versionID="16b9704483ac0477506ffd5e6900e3e6">
  <xsd:schema xmlns:xsd="http://www.w3.org/2001/XMLSchema" xmlns:xs="http://www.w3.org/2001/XMLSchema" xmlns:p="http://schemas.microsoft.com/office/2006/metadata/properties" xmlns:ns3="8961fb16-893b-4158-8d3a-6a8f3778e72f" targetNamespace="http://schemas.microsoft.com/office/2006/metadata/properties" ma:root="true" ma:fieldsID="0193b333e303f7fe9b8f0ec1c41fb8dd" ns3:_="">
    <xsd:import namespace="8961fb16-893b-4158-8d3a-6a8f3778e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1fb16-893b-4158-8d3a-6a8f3778e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DA3F0-889B-4ACF-96D3-C29BD716E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1fb16-893b-4158-8d3a-6a8f3778e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A9674-FB3E-4626-BB4F-40F4A6E66F1F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8961fb16-893b-4158-8d3a-6a8f3778e72f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50070F-311E-4068-9C5E-657F0993C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Gil Garcia</dc:creator>
  <cp:keywords/>
  <dc:description/>
  <cp:lastModifiedBy>Ana Gil Garcia</cp:lastModifiedBy>
  <cp:revision>2</cp:revision>
  <dcterms:created xsi:type="dcterms:W3CDTF">2023-02-23T19:04:00Z</dcterms:created>
  <dcterms:modified xsi:type="dcterms:W3CDTF">2023-02-23T19:04:00Z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0x0101008B330F9C4C391F43951CC672D10C2754</vt:lpwstr>
  </property>
</Properties>
</file>